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29" w:name="content"/>
    <w:bookmarkStart w:id="28" w:name="checklist-daudit-pour-systèmes-ia-rh"/>
    <w:p>
      <w:pPr>
        <w:pStyle w:val="Heading1"/>
      </w:pPr>
      <w:r>
        <w:t xml:space="preserve">Checklist d'audit pour systèmes IA RH</w:t>
      </w:r>
    </w:p>
    <w:p>
      <w:pPr>
        <w:pStyle w:val="FirstParagraph"/>
      </w:pPr>
      <w:r>
        <w:t xml:space="preserve">Cette grille d'évaluation permet aux équipes RH et aux auditeurs de vérifier la conformité, l'éthique et l'efficacité des systèmes d'intelligence artificielle utilisés dans le recrutement et la gestion du personnel. Elle s'inspire des recommandations des autorités européennes (CNIL, EDPB) et des standards internationaux comme ISO/IEC 42001 et le cadre NIST AI RMF.</w:t>
      </w:r>
    </w:p>
    <w:bookmarkStart w:id="21" w:name="conception-et-gouvernance"/>
    <w:p>
      <w:pPr>
        <w:pStyle w:val="Heading2"/>
      </w:pPr>
      <w:r>
        <w:t xml:space="preserve">Conception et gouvernance</w:t>
      </w:r>
    </w:p>
    <w:p>
      <w:pPr>
        <w:pStyle w:val="Compact"/>
        <w:numPr>
          <w:ilvl w:val="0"/>
          <w:numId w:val="1001"/>
        </w:numPr>
      </w:pPr>
      <w:r>
        <w:t xml:space="preserve">Objectifs clairement définis et alignés sur les valeurs de l'entreprise — Réponse/Commentaire :</w:t>
      </w:r>
    </w:p>
    <w:p>
      <w:pPr>
        <w:pStyle w:val="Compact"/>
        <w:numPr>
          <w:ilvl w:val="0"/>
          <w:numId w:val="1001"/>
        </w:numPr>
      </w:pPr>
      <w:r>
        <w:t xml:space="preserve">Sponsor et responsabilités identifiés (direction, DRH, DPO) — Réponse/Commentaire :</w:t>
      </w:r>
    </w:p>
    <w:p>
      <w:pPr>
        <w:pStyle w:val="Compact"/>
        <w:numPr>
          <w:ilvl w:val="0"/>
          <w:numId w:val="1001"/>
        </w:numPr>
      </w:pPr>
      <w:r>
        <w:t xml:space="preserve">Analyse d'impact (DPIA) ou évaluation des risques réalisée — Réponse/Commentaire :</w:t>
      </w:r>
    </w:p>
    <w:p>
      <w:pPr>
        <w:pStyle w:val="Compact"/>
        <w:numPr>
          <w:ilvl w:val="0"/>
          <w:numId w:val="1001"/>
        </w:numPr>
      </w:pPr>
      <w:r>
        <w:t xml:space="preserve">Documentation des cas d'usage et justification de l'utilisation de l'IA — Réponse/Commentaire :</w:t>
      </w:r>
    </w:p>
    <w:bookmarkEnd w:id="21"/>
    <w:bookmarkStart w:id="22" w:name="gestion-des-données"/>
    <w:p>
      <w:pPr>
        <w:pStyle w:val="Heading2"/>
      </w:pPr>
      <w:r>
        <w:t xml:space="preserve">Gestion des données</w:t>
      </w:r>
    </w:p>
    <w:p>
      <w:pPr>
        <w:pStyle w:val="Compact"/>
        <w:numPr>
          <w:ilvl w:val="0"/>
          <w:numId w:val="1002"/>
        </w:numPr>
      </w:pPr>
      <w:r>
        <w:t xml:space="preserve">Sources de données identifiées et légitimes (emploi, carrière, etc.) — Réponse/Commentaire :</w:t>
      </w:r>
    </w:p>
    <w:p>
      <w:pPr>
        <w:pStyle w:val="Compact"/>
        <w:numPr>
          <w:ilvl w:val="0"/>
          <w:numId w:val="1002"/>
        </w:numPr>
      </w:pPr>
      <w:r>
        <w:t xml:space="preserve">Qualité et représentativité des données vérifiées (absence de biais systémique) — Réponse/Commentaire :</w:t>
      </w:r>
    </w:p>
    <w:p>
      <w:pPr>
        <w:pStyle w:val="Compact"/>
        <w:numPr>
          <w:ilvl w:val="0"/>
          <w:numId w:val="1002"/>
        </w:numPr>
      </w:pPr>
      <w:r>
        <w:t xml:space="preserve">Minimisation et limitation de la collecte (données pertinentes uniquement) — Réponse/Commentaire :</w:t>
      </w:r>
    </w:p>
    <w:p>
      <w:pPr>
        <w:pStyle w:val="Compact"/>
        <w:numPr>
          <w:ilvl w:val="0"/>
          <w:numId w:val="1002"/>
        </w:numPr>
      </w:pPr>
      <w:r>
        <w:t xml:space="preserve">Procédures d'anonymisation ou de pseudonymisation mises en œuvre — Réponse/Commentaire :</w:t>
      </w:r>
    </w:p>
    <w:p>
      <w:pPr>
        <w:pStyle w:val="Compact"/>
        <w:numPr>
          <w:ilvl w:val="0"/>
          <w:numId w:val="1002"/>
        </w:numPr>
      </w:pPr>
      <w:r>
        <w:t xml:space="preserve">Respect des durées de conservation et des droits d’accès / rectification — Réponse/Commentaire :</w:t>
      </w:r>
    </w:p>
    <w:bookmarkEnd w:id="22"/>
    <w:bookmarkStart w:id="23" w:name="modèles-et-algorithmes"/>
    <w:p>
      <w:pPr>
        <w:pStyle w:val="Heading2"/>
      </w:pPr>
      <w:r>
        <w:t xml:space="preserve">Modèles et algorithmes</w:t>
      </w:r>
    </w:p>
    <w:p>
      <w:pPr>
        <w:pStyle w:val="Compact"/>
        <w:numPr>
          <w:ilvl w:val="0"/>
          <w:numId w:val="1003"/>
        </w:numPr>
      </w:pPr>
      <w:r>
        <w:t xml:space="preserve">Description du modèle (type, version, fournisseur ou interne) — Réponse/Commentaire :</w:t>
      </w:r>
    </w:p>
    <w:p>
      <w:pPr>
        <w:pStyle w:val="Compact"/>
        <w:numPr>
          <w:ilvl w:val="0"/>
          <w:numId w:val="1003"/>
        </w:numPr>
      </w:pPr>
      <w:r>
        <w:t xml:space="preserve">Processus de formation et de validation documentés — Réponse/Commentaire :</w:t>
      </w:r>
    </w:p>
    <w:p>
      <w:pPr>
        <w:pStyle w:val="Compact"/>
        <w:numPr>
          <w:ilvl w:val="0"/>
          <w:numId w:val="1003"/>
        </w:numPr>
      </w:pPr>
      <w:r>
        <w:t xml:space="preserve">Mesures de performance (précision, rappel, F1-score, etc.) disponibles — Réponse/Commentaire :</w:t>
      </w:r>
    </w:p>
    <w:p>
      <w:pPr>
        <w:pStyle w:val="Compact"/>
        <w:numPr>
          <w:ilvl w:val="0"/>
          <w:numId w:val="1003"/>
        </w:numPr>
      </w:pPr>
      <w:r>
        <w:t xml:space="preserve">Évaluations de l'équité et analyse des biais effectuées — Réponse/Commentaire :</w:t>
      </w:r>
    </w:p>
    <w:p>
      <w:pPr>
        <w:pStyle w:val="Compact"/>
        <w:numPr>
          <w:ilvl w:val="0"/>
          <w:numId w:val="1003"/>
        </w:numPr>
      </w:pPr>
      <w:r>
        <w:t xml:space="preserve">Techniques de mitigation des biais appliquées et suivies — Réponse/Commentaire :</w:t>
      </w:r>
    </w:p>
    <w:p>
      <w:pPr>
        <w:pStyle w:val="Compact"/>
        <w:numPr>
          <w:ilvl w:val="0"/>
          <w:numId w:val="1003"/>
        </w:numPr>
      </w:pPr>
      <w:r>
        <w:t xml:space="preserve">Reproductibilité et auditabilité assurées — Réponse/Commentaire :</w:t>
      </w:r>
    </w:p>
    <w:bookmarkEnd w:id="23"/>
    <w:bookmarkStart w:id="24" w:name="infrastructure-et-sécurité"/>
    <w:p>
      <w:pPr>
        <w:pStyle w:val="Heading2"/>
      </w:pPr>
      <w:r>
        <w:t xml:space="preserve">Infrastructure et sécurité</w:t>
      </w:r>
    </w:p>
    <w:p>
      <w:pPr>
        <w:pStyle w:val="Compact"/>
        <w:numPr>
          <w:ilvl w:val="0"/>
          <w:numId w:val="1004"/>
        </w:numPr>
      </w:pPr>
      <w:r>
        <w:t xml:space="preserve">Architecture et infrastructure décrites (cloud, on-premise, SaaS) — Réponse/Commentaire :</w:t>
      </w:r>
    </w:p>
    <w:p>
      <w:pPr>
        <w:pStyle w:val="Compact"/>
        <w:numPr>
          <w:ilvl w:val="0"/>
          <w:numId w:val="1004"/>
        </w:numPr>
      </w:pPr>
      <w:r>
        <w:t xml:space="preserve">Contrôles de sécurité appliqués (chiffrement, accès restreint, segmentation réseau) — Réponse/Commentaire :</w:t>
      </w:r>
    </w:p>
    <w:p>
      <w:pPr>
        <w:pStyle w:val="Compact"/>
        <w:numPr>
          <w:ilvl w:val="0"/>
          <w:numId w:val="1004"/>
        </w:numPr>
      </w:pPr>
      <w:r>
        <w:t xml:space="preserve">Plan de continuité et de reprise d'activité défini — Réponse/Commentaire :</w:t>
      </w:r>
    </w:p>
    <w:p>
      <w:pPr>
        <w:pStyle w:val="Compact"/>
        <w:numPr>
          <w:ilvl w:val="0"/>
          <w:numId w:val="1004"/>
        </w:numPr>
      </w:pPr>
      <w:r>
        <w:t xml:space="preserve">Procédures d'incident et de notification de violation établies — Réponse/Commentaire :</w:t>
      </w:r>
    </w:p>
    <w:bookmarkEnd w:id="24"/>
    <w:bookmarkStart w:id="25" w:name="conformité-et-réglementation"/>
    <w:p>
      <w:pPr>
        <w:pStyle w:val="Heading2"/>
      </w:pPr>
      <w:r>
        <w:t xml:space="preserve">Conformité et réglementation</w:t>
      </w:r>
    </w:p>
    <w:p>
      <w:pPr>
        <w:pStyle w:val="Compact"/>
        <w:numPr>
          <w:ilvl w:val="0"/>
          <w:numId w:val="1005"/>
        </w:numPr>
      </w:pPr>
      <w:r>
        <w:t xml:space="preserve">Base légale (GDPR, AI Act) identifiée pour chaque traitement — Réponse/Commentaire :</w:t>
      </w:r>
    </w:p>
    <w:p>
      <w:pPr>
        <w:pStyle w:val="Compact"/>
        <w:numPr>
          <w:ilvl w:val="0"/>
          <w:numId w:val="1005"/>
        </w:numPr>
      </w:pPr>
      <w:r>
        <w:t xml:space="preserve">Clause contractuelle pour les prestataires/vendeurs IA disponible — Réponse/Commentaire :</w:t>
      </w:r>
    </w:p>
    <w:p>
      <w:pPr>
        <w:pStyle w:val="Compact"/>
        <w:numPr>
          <w:ilvl w:val="0"/>
          <w:numId w:val="1005"/>
        </w:numPr>
      </w:pPr>
      <w:r>
        <w:t xml:space="preserve">Cartographie et registre des traitements mis à jour — Réponse/Commentaire :</w:t>
      </w:r>
    </w:p>
    <w:p>
      <w:pPr>
        <w:pStyle w:val="Compact"/>
        <w:numPr>
          <w:ilvl w:val="0"/>
          <w:numId w:val="1005"/>
        </w:numPr>
      </w:pPr>
      <w:r>
        <w:t xml:space="preserve">Information et consentement des candidats/employés gérés correctement — Réponse/Commentaire :</w:t>
      </w:r>
    </w:p>
    <w:p>
      <w:pPr>
        <w:pStyle w:val="Compact"/>
        <w:numPr>
          <w:ilvl w:val="0"/>
          <w:numId w:val="1005"/>
        </w:numPr>
      </w:pPr>
      <w:r>
        <w:t xml:space="preserve">Respect des interdictions (usage de données sensibles sans justification, décisions automatisées sans intervention humaine) — Réponse/Commentaire :</w:t>
      </w:r>
    </w:p>
    <w:bookmarkEnd w:id="25"/>
    <w:bookmarkStart w:id="26" w:name="supervision-humaine"/>
    <w:p>
      <w:pPr>
        <w:pStyle w:val="Heading2"/>
      </w:pPr>
      <w:r>
        <w:t xml:space="preserve">Supervision humaine</w:t>
      </w:r>
    </w:p>
    <w:p>
      <w:pPr>
        <w:pStyle w:val="Compact"/>
        <w:numPr>
          <w:ilvl w:val="0"/>
          <w:numId w:val="1006"/>
        </w:numPr>
      </w:pPr>
      <w:r>
        <w:t xml:space="preserve">Présence d’un humain dans la boucle pour valider les décisions importantes (recrutement, promotion, licenciement) — Réponse/Commentaire :</w:t>
      </w:r>
    </w:p>
    <w:p>
      <w:pPr>
        <w:pStyle w:val="Compact"/>
        <w:numPr>
          <w:ilvl w:val="0"/>
          <w:numId w:val="1006"/>
        </w:numPr>
      </w:pPr>
      <w:r>
        <w:t xml:space="preserve">Capacité d’explicabilité ou d’interprétabilité pour les opérateurs RH — Réponse/Commentaire :</w:t>
      </w:r>
    </w:p>
    <w:p>
      <w:pPr>
        <w:pStyle w:val="Compact"/>
        <w:numPr>
          <w:ilvl w:val="0"/>
          <w:numId w:val="1006"/>
        </w:numPr>
      </w:pPr>
      <w:r>
        <w:t xml:space="preserve">Formation des utilisateurs à l'interprétation des résultats — Réponse/Commentaire :</w:t>
      </w:r>
    </w:p>
    <w:p>
      <w:pPr>
        <w:pStyle w:val="Compact"/>
        <w:numPr>
          <w:ilvl w:val="0"/>
          <w:numId w:val="1006"/>
        </w:numPr>
      </w:pPr>
      <w:r>
        <w:t xml:space="preserve">Procédures de recours ou contestation pour les candidats/employés — Réponse/Commentaire :</w:t>
      </w:r>
    </w:p>
    <w:bookmarkEnd w:id="26"/>
    <w:bookmarkStart w:id="27" w:name="suivi-et-amélioration-continue"/>
    <w:p>
      <w:pPr>
        <w:pStyle w:val="Heading2"/>
      </w:pPr>
      <w:r>
        <w:t xml:space="preserve">Suivi et amélioration continue</w:t>
      </w:r>
    </w:p>
    <w:p>
      <w:pPr>
        <w:pStyle w:val="Compact"/>
        <w:numPr>
          <w:ilvl w:val="0"/>
          <w:numId w:val="1007"/>
        </w:numPr>
      </w:pPr>
      <w:r>
        <w:t xml:space="preserve">Indicateurs de performance et d'équité monitorés régulièrement — Réponse/Commentaire :</w:t>
      </w:r>
    </w:p>
    <w:p>
      <w:pPr>
        <w:pStyle w:val="Compact"/>
        <w:numPr>
          <w:ilvl w:val="0"/>
          <w:numId w:val="1007"/>
        </w:numPr>
      </w:pPr>
      <w:r>
        <w:t xml:space="preserve">Plan de revue périodique du modèle (retraining, recalibrage) — Réponse/Commentaire :</w:t>
      </w:r>
    </w:p>
    <w:p>
      <w:pPr>
        <w:pStyle w:val="Compact"/>
        <w:numPr>
          <w:ilvl w:val="0"/>
          <w:numId w:val="1007"/>
        </w:numPr>
      </w:pPr>
      <w:r>
        <w:t xml:space="preserve">Processus de gestion des mises à jour et des évolutions réglementaires — Réponse/Commentaire :</w:t>
      </w:r>
    </w:p>
    <w:p>
      <w:pPr>
        <w:pStyle w:val="Compact"/>
        <w:numPr>
          <w:ilvl w:val="0"/>
          <w:numId w:val="1007"/>
        </w:numPr>
      </w:pPr>
      <w:r>
        <w:t xml:space="preserve">Documentation vivante (logs, journaux d'utilisation, changements) — Réponse/Commentaire :</w:t>
      </w:r>
    </w:p>
    <w:bookmarkEnd w:id="27"/>
    <w:bookmarkEnd w:id="28"/>
    <w:bookmarkEnd w:id="29"/>
    <w:p>
      <w:r>
        <w:pict>
          <v:rect style="width:0;height:1.5pt" o:hralign="center" o:hrstd="t" o:hr="t"/>
        </w:pict>
      </w:r>
    </w:p>
    <w:bookmarkStart w:id="30" w:name="citations"/>
    <w:bookmarkEnd w:id="30"/>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abstractNum w:abstractNumId="991">
    <w:nsid w:val="0000A991"/>
    <w:multiLevelType w:val="multilevel"/>
    <w:lvl w:ilvl="0">
      <w:numFmt w:val="bullet"/>
      <w:lvlText w:val=""/>
      <w:lvlJc w:val="left"/>
      <w:pPr>
        <w:ind w:left="720" w:hanging="360"/>
      </w:pPr>
      <w:rPr>
        <w:rFonts w:ascii="Symbol" w:hAnsi="Symbol" w:cs="Symbol" w:hint="default"/>
      </w:rPr>
    </w:lvl>
    <w:lvl w:ilvl="1">
      <w:numFmt w:val="bullet"/>
      <w:lvlText w:val="o"/>
      <w:lvlJc w:val="left"/>
      <w:pPr>
        <w:ind w:left="1440" w:hanging="360"/>
      </w:pPr>
      <w:rPr>
        <w:rFonts w:ascii="Courier New" w:hAnsi="Courier New" w:cs="Courier New" w:hint="default"/>
      </w:rPr>
    </w:lvl>
    <w:lvl w:ilvl="2">
      <w:numFmt w:val="bullet"/>
      <w:lvlText w:val=""/>
      <w:lvlJc w:val="left"/>
      <w:pPr>
        <w:ind w:left="2160" w:hanging="360"/>
      </w:pPr>
      <w:rPr>
        <w:rFonts w:ascii="Wingdings" w:hAnsi="Wingdings" w:cs="Wingdings" w:hint="default"/>
      </w:rPr>
    </w:lvl>
    <w:lvl w:ilvl="3">
      <w:numFmt w:val="bullet"/>
      <w:lvlText w:val=""/>
      <w:lvlJc w:val="left"/>
      <w:pPr>
        <w:ind w:left="2880" w:hanging="360"/>
      </w:pPr>
      <w:rPr>
        <w:rFonts w:ascii="Symbol" w:hAnsi="Symbol" w:cs="Symbol" w:hint="default"/>
      </w:rPr>
    </w:lvl>
    <w:lvl w:ilvl="4">
      <w:numFmt w:val="bullet"/>
      <w:lvlText w:val="o"/>
      <w:lvlJc w:val="left"/>
      <w:pPr>
        <w:ind w:left="3600" w:hanging="360"/>
      </w:pPr>
      <w:rPr>
        <w:rFonts w:ascii="Courier New" w:hAnsi="Courier New" w:cs="Courier New" w:hint="default"/>
      </w:rPr>
    </w:lvl>
    <w:lvl w:ilvl="5">
      <w:numFmt w:val="bullet"/>
      <w:lvlText w:val=""/>
      <w:lvlJc w:val="left"/>
      <w:pPr>
        <w:ind w:left="4320" w:hanging="360"/>
      </w:pPr>
      <w:rPr>
        <w:rFonts w:ascii="Wingdings" w:hAnsi="Wingdings" w:cs="Wingdings" w:hint="default"/>
      </w:rPr>
    </w:lvl>
    <w:lvl w:ilvl="6">
      <w:numFmt w:val="bullet"/>
      <w:lvlText w:val=""/>
      <w:lvlJc w:val="left"/>
      <w:pPr>
        <w:ind w:left="5040" w:hanging="360"/>
      </w:pPr>
      <w:rPr>
        <w:rFonts w:ascii="Symbol" w:hAnsi="Symbol" w:cs="Symbol" w:hint="default"/>
      </w:rPr>
    </w:lvl>
    <w:lvl w:ilvl="7">
      <w:numFmt w:val="bullet"/>
      <w:lvlText w:val="o"/>
      <w:lvlJc w:val="left"/>
      <w:pPr>
        <w:ind w:left="5760" w:hanging="360"/>
      </w:pPr>
      <w:rPr>
        <w:rFonts w:ascii="Courier New" w:hAnsi="Courier New" w:cs="Courier New" w:hint="default"/>
      </w:rPr>
    </w:lvl>
    <w:lvl w:ilvl="8">
      <w:numFmt w:val="bullet"/>
      <w:lvlText w:val=""/>
      <w:lvlJc w:val="left"/>
      <w:pPr>
        <w:ind w:left="6480" w:hanging="360"/>
      </w:pPr>
      <w:rPr>
        <w:rFonts w:ascii="Wingdings" w:hAnsi="Wingdings" w:cs="Wingdings" w:hint="default"/>
      </w:rPr>
    </w:lvl>
  </w:abstractNum>
  <w:num w:numId="1000">
    <w:abstractNumId w:val="990"/>
  </w:num>
  <w:num w:numId="1001">
    <w:abstractNumId w:val="991"/>
  </w:num>
  <w:num w:numId="1002">
    <w:abstractNumId w:val="991"/>
  </w:num>
  <w:num w:numId="1003">
    <w:abstractNumId w:val="991"/>
  </w:num>
  <w:num w:numId="1004">
    <w:abstractNumId w:val="991"/>
  </w:num>
  <w:num w:numId="1005">
    <w:abstractNumId w:val="991"/>
  </w:num>
  <w:num w:numId="1006">
    <w:abstractNumId w:val="991"/>
  </w:num>
  <w:num w:numId="1007">
    <w:abstractNumId w:val="991"/>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fr"/>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fr</dc:language>
  <cp:keywords/>
  <dcterms:created xsi:type="dcterms:W3CDTF">2025-12-16T18:36:43Z</dcterms:created>
  <dcterms:modified xsi:type="dcterms:W3CDTF">2025-12-16T18:36:43Z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