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0" w:name="header"/>
    <w:bookmarkEnd w:id="20"/>
    <w:bookmarkStart w:id="32" w:name="content"/>
    <w:bookmarkStart w:id="31" w:name="X1932c857ac44b1c914193332d7305aefd03c85c"/>
    <w:p>
      <w:pPr>
        <w:pStyle w:val="Heading1"/>
      </w:pPr>
      <w:r>
        <w:t xml:space="preserve">Modèle de politique d’utilisation de l’IA en RH</w:t>
      </w:r>
    </w:p>
    <w:p>
      <w:pPr>
        <w:pStyle w:val="FirstParagraph"/>
      </w:pPr>
      <w:r>
        <w:t xml:space="preserve">Ce modèle de politique d’utilisation de l’intelligence artificielle pour les Ressources Humaines est conçu pour aider les organisations à définir un cadre clair, responsable et conforme aux réglementations (AI Act, RGPD). Il doit être adapté selon la taille, le secteur et les enjeux propres à chaque organisation.</w:t>
      </w:r>
    </w:p>
    <w:bookmarkStart w:id="21" w:name="objet-et-portée"/>
    <w:p>
      <w:pPr>
        <w:pStyle w:val="Heading2"/>
      </w:pPr>
      <w:r>
        <w:t xml:space="preserve">1. Objet et portée</w:t>
      </w:r>
    </w:p>
    <w:p>
      <w:pPr>
        <w:pStyle w:val="Compact"/>
        <w:numPr>
          <w:ilvl w:val="0"/>
          <w:numId w:val="1001"/>
        </w:numPr>
      </w:pPr>
      <w:r>
        <w:t xml:space="preserve">Définir l’intelligence artificielle et l’algorithme utilisé en RH.</w:t>
      </w:r>
    </w:p>
    <w:p>
      <w:pPr>
        <w:pStyle w:val="Compact"/>
        <w:numPr>
          <w:ilvl w:val="0"/>
          <w:numId w:val="1001"/>
        </w:numPr>
      </w:pPr>
      <w:r>
        <w:t xml:space="preserve">Décrire le périmètre de la politique (recrutement, mobilité interne, formation, gestion des talents, etc.).</w:t>
      </w:r>
    </w:p>
    <w:p>
      <w:pPr>
        <w:pStyle w:val="Compact"/>
        <w:numPr>
          <w:ilvl w:val="0"/>
          <w:numId w:val="1001"/>
        </w:numPr>
      </w:pPr>
      <w:r>
        <w:t xml:space="preserve">Préciser les objectifs recherchés (efficacité, équité, conformité).</w:t>
      </w:r>
    </w:p>
    <w:bookmarkEnd w:id="21"/>
    <w:bookmarkStart w:id="22" w:name="principes-généraux"/>
    <w:p>
      <w:pPr>
        <w:pStyle w:val="Heading2"/>
      </w:pPr>
      <w:r>
        <w:t xml:space="preserve">2. Principes généraux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Équité et non-discrimination :</w:t>
      </w:r>
      <w:r>
        <w:t xml:space="preserve"> </w:t>
      </w:r>
      <w:r>
        <w:t xml:space="preserve">garantir que l’IA ne favorise pas ou ne défavorise pas certains candidats ou employés.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Transparence :</w:t>
      </w:r>
      <w:r>
        <w:t xml:space="preserve"> </w:t>
      </w:r>
      <w:r>
        <w:t xml:space="preserve">informer les personnes concernées de l’usage de l’IA et des données traitées.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Responsabilité humaine :</w:t>
      </w:r>
      <w:r>
        <w:t xml:space="preserve"> </w:t>
      </w:r>
      <w:r>
        <w:t xml:space="preserve">maintenir une supervision humaine et la possibilité de contester les décisions automatisées.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Protection des données et respect de la vie privée :</w:t>
      </w:r>
      <w:r>
        <w:t xml:space="preserve"> </w:t>
      </w:r>
      <w:r>
        <w:t xml:space="preserve">respecter le RGPD et les lois applicables.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Sécurité des systèmes :</w:t>
      </w:r>
      <w:r>
        <w:t xml:space="preserve"> </w:t>
      </w:r>
      <w:r>
        <w:t xml:space="preserve">assurer la sécurité logique et physique des infrastructures utilisées.</w:t>
      </w:r>
    </w:p>
    <w:bookmarkEnd w:id="22"/>
    <w:bookmarkStart w:id="23" w:name="outils-et-usages-autorisésinterdits"/>
    <w:p>
      <w:pPr>
        <w:pStyle w:val="Heading2"/>
      </w:pPr>
      <w:r>
        <w:t xml:space="preserve">3. Outils et usages autorisés/interdits</w:t>
      </w:r>
    </w:p>
    <w:p>
      <w:pPr>
        <w:pStyle w:val="Compact"/>
        <w:numPr>
          <w:ilvl w:val="0"/>
          <w:numId w:val="1003"/>
        </w:numPr>
      </w:pPr>
      <w:r>
        <w:t xml:space="preserve">Lister les technologies et fournisseurs approuvés (ATS, outils de matching, analyse vidéo, etc.).</w:t>
      </w:r>
    </w:p>
    <w:p>
      <w:pPr>
        <w:pStyle w:val="Compact"/>
        <w:numPr>
          <w:ilvl w:val="0"/>
          <w:numId w:val="1003"/>
        </w:numPr>
      </w:pPr>
      <w:r>
        <w:t xml:space="preserve">Définir les usages autorisés (pré-tri des CV, recommandation de formation) et les usages interdits (profilage sans consentement, utilisation de données sensibles).</w:t>
      </w:r>
    </w:p>
    <w:p>
      <w:pPr>
        <w:pStyle w:val="Compact"/>
        <w:numPr>
          <w:ilvl w:val="0"/>
          <w:numId w:val="1003"/>
        </w:numPr>
      </w:pPr>
      <w:r>
        <w:t xml:space="preserve">Exiger une approbation préalable du DSI/DPO pour tout nouvel outil d’IA RH.</w:t>
      </w:r>
    </w:p>
    <w:bookmarkEnd w:id="23"/>
    <w:bookmarkStart w:id="24" w:name="gouvernance-et-responsabilités"/>
    <w:p>
      <w:pPr>
        <w:pStyle w:val="Heading2"/>
      </w:pPr>
      <w:r>
        <w:t xml:space="preserve">4. Gouvernance et responsabilités</w:t>
      </w:r>
    </w:p>
    <w:p>
      <w:pPr>
        <w:pStyle w:val="Compact"/>
        <w:numPr>
          <w:ilvl w:val="0"/>
          <w:numId w:val="1004"/>
        </w:numPr>
      </w:pPr>
      <w:r>
        <w:t xml:space="preserve">Définir les acteurs responsables (direction, DRH, DSI, DPO).</w:t>
      </w:r>
    </w:p>
    <w:p>
      <w:pPr>
        <w:pStyle w:val="Compact"/>
        <w:numPr>
          <w:ilvl w:val="0"/>
          <w:numId w:val="1004"/>
        </w:numPr>
      </w:pPr>
      <w:r>
        <w:t xml:space="preserve">Créer un comité IA chargé de l’évaluation des projets, du suivi et des audits.</w:t>
      </w:r>
    </w:p>
    <w:p>
      <w:pPr>
        <w:pStyle w:val="Compact"/>
        <w:numPr>
          <w:ilvl w:val="0"/>
          <w:numId w:val="1004"/>
        </w:numPr>
      </w:pPr>
      <w:r>
        <w:t xml:space="preserve">Prévoir des formations obligatoires des équipes RH à l’utilisation et à la compréhension des outils IA.</w:t>
      </w:r>
    </w:p>
    <w:p>
      <w:pPr>
        <w:pStyle w:val="Compact"/>
        <w:numPr>
          <w:ilvl w:val="0"/>
          <w:numId w:val="1004"/>
        </w:numPr>
      </w:pPr>
      <w:r>
        <w:t xml:space="preserve">Assurer un suivi et un reporting réguliers au comité de direction.</w:t>
      </w:r>
    </w:p>
    <w:bookmarkEnd w:id="24"/>
    <w:bookmarkStart w:id="25" w:name="gestion-des-données"/>
    <w:p>
      <w:pPr>
        <w:pStyle w:val="Heading2"/>
      </w:pPr>
      <w:r>
        <w:t xml:space="preserve">5. Gestion des données</w:t>
      </w:r>
    </w:p>
    <w:p>
      <w:pPr>
        <w:pStyle w:val="Compact"/>
        <w:numPr>
          <w:ilvl w:val="0"/>
          <w:numId w:val="1005"/>
        </w:numPr>
      </w:pPr>
      <w:r>
        <w:t xml:space="preserve">Préciser quelles données peuvent être collectées, utilisées et stockées.</w:t>
      </w:r>
    </w:p>
    <w:p>
      <w:pPr>
        <w:pStyle w:val="Compact"/>
        <w:numPr>
          <w:ilvl w:val="0"/>
          <w:numId w:val="1005"/>
        </w:numPr>
      </w:pPr>
      <w:r>
        <w:t xml:space="preserve">Définir les durées de conservation et les modalités d’effacement.</w:t>
      </w:r>
    </w:p>
    <w:p>
      <w:pPr>
        <w:pStyle w:val="Compact"/>
        <w:numPr>
          <w:ilvl w:val="0"/>
          <w:numId w:val="1005"/>
        </w:numPr>
      </w:pPr>
      <w:r>
        <w:t xml:space="preserve">Mettre en place des mesures de pseudonymisation/anonymisation si nécessaire.</w:t>
      </w:r>
    </w:p>
    <w:p>
      <w:pPr>
        <w:pStyle w:val="Compact"/>
        <w:numPr>
          <w:ilvl w:val="0"/>
          <w:numId w:val="1005"/>
        </w:numPr>
      </w:pPr>
      <w:r>
        <w:t xml:space="preserve">Garantir les droits des candidats et employés (accès, rectification, opposition, suppression).</w:t>
      </w:r>
    </w:p>
    <w:bookmarkEnd w:id="25"/>
    <w:bookmarkStart w:id="26" w:name="sécurité-et-confidentialité"/>
    <w:p>
      <w:pPr>
        <w:pStyle w:val="Heading2"/>
      </w:pPr>
      <w:r>
        <w:t xml:space="preserve">6. Sécurité et confidentialité</w:t>
      </w:r>
    </w:p>
    <w:p>
      <w:pPr>
        <w:pStyle w:val="Compact"/>
        <w:numPr>
          <w:ilvl w:val="0"/>
          <w:numId w:val="1006"/>
        </w:numPr>
      </w:pPr>
      <w:r>
        <w:t xml:space="preserve">Déployer des contrôles d’accès et de chiffrement adaptés.</w:t>
      </w:r>
    </w:p>
    <w:p>
      <w:pPr>
        <w:pStyle w:val="Compact"/>
        <w:numPr>
          <w:ilvl w:val="0"/>
          <w:numId w:val="1006"/>
        </w:numPr>
      </w:pPr>
      <w:r>
        <w:t xml:space="preserve">Assurer la conformité aux standards de sécurité (ISO 27001, NIST).</w:t>
      </w:r>
    </w:p>
    <w:p>
      <w:pPr>
        <w:pStyle w:val="Compact"/>
        <w:numPr>
          <w:ilvl w:val="0"/>
          <w:numId w:val="1006"/>
        </w:numPr>
      </w:pPr>
      <w:r>
        <w:t xml:space="preserve">Élaborer un plan de gestion des incidents et de notification des violations de données.</w:t>
      </w:r>
    </w:p>
    <w:bookmarkEnd w:id="26"/>
    <w:bookmarkStart w:id="27" w:name="surveillance-et-audits"/>
    <w:p>
      <w:pPr>
        <w:pStyle w:val="Heading2"/>
      </w:pPr>
      <w:r>
        <w:t xml:space="preserve">7. Surveillance et audits</w:t>
      </w:r>
    </w:p>
    <w:p>
      <w:pPr>
        <w:pStyle w:val="Compact"/>
        <w:numPr>
          <w:ilvl w:val="0"/>
          <w:numId w:val="1007"/>
        </w:numPr>
      </w:pPr>
      <w:r>
        <w:t xml:space="preserve">Mettre en place des indicateurs pour mesurer la performance et la non-discrimination.</w:t>
      </w:r>
    </w:p>
    <w:p>
      <w:pPr>
        <w:pStyle w:val="Compact"/>
        <w:numPr>
          <w:ilvl w:val="0"/>
          <w:numId w:val="1007"/>
        </w:numPr>
      </w:pPr>
      <w:r>
        <w:t xml:space="preserve">Prévoir des audits réguliers (internes ou par un tiers) de l’algorithme et des processus.</w:t>
      </w:r>
    </w:p>
    <w:p>
      <w:pPr>
        <w:pStyle w:val="Compact"/>
        <w:numPr>
          <w:ilvl w:val="0"/>
          <w:numId w:val="1007"/>
        </w:numPr>
      </w:pPr>
      <w:r>
        <w:t xml:space="preserve">Documenter les modifications et améliorations apportées aux outils.</w:t>
      </w:r>
    </w:p>
    <w:bookmarkEnd w:id="27"/>
    <w:bookmarkStart w:id="28" w:name="formation-et-sensibilisation"/>
    <w:p>
      <w:pPr>
        <w:pStyle w:val="Heading2"/>
      </w:pPr>
      <w:r>
        <w:t xml:space="preserve">8. Formation et sensibilisation</w:t>
      </w:r>
    </w:p>
    <w:p>
      <w:pPr>
        <w:pStyle w:val="Compact"/>
        <w:numPr>
          <w:ilvl w:val="0"/>
          <w:numId w:val="1008"/>
        </w:numPr>
      </w:pPr>
      <w:r>
        <w:t xml:space="preserve">Organiser des formations régulières sur l’éthique et l’IA pour les collaborateurs.</w:t>
      </w:r>
    </w:p>
    <w:p>
      <w:pPr>
        <w:pStyle w:val="Compact"/>
        <w:numPr>
          <w:ilvl w:val="0"/>
          <w:numId w:val="1008"/>
        </w:numPr>
      </w:pPr>
      <w:r>
        <w:t xml:space="preserve">Communiquer sur les limites et risques potentiels de l’IA.</w:t>
      </w:r>
    </w:p>
    <w:p>
      <w:pPr>
        <w:pStyle w:val="Compact"/>
        <w:numPr>
          <w:ilvl w:val="0"/>
          <w:numId w:val="1008"/>
        </w:numPr>
      </w:pPr>
      <w:r>
        <w:t xml:space="preserve">Promouvoir une culture d’expérimentation responsable et d’innovation contrôlée.</w:t>
      </w:r>
    </w:p>
    <w:bookmarkEnd w:id="28"/>
    <w:bookmarkStart w:id="29" w:name="sanctions-et-non-conformité"/>
    <w:p>
      <w:pPr>
        <w:pStyle w:val="Heading2"/>
      </w:pPr>
      <w:r>
        <w:t xml:space="preserve">9. Sanctions et non-conformité</w:t>
      </w:r>
    </w:p>
    <w:p>
      <w:pPr>
        <w:pStyle w:val="Compact"/>
        <w:numPr>
          <w:ilvl w:val="0"/>
          <w:numId w:val="1009"/>
        </w:numPr>
      </w:pPr>
      <w:r>
        <w:t xml:space="preserve">Établir des sanctions disciplinaires en cas de non-respect de la politique.</w:t>
      </w:r>
    </w:p>
    <w:p>
      <w:pPr>
        <w:pStyle w:val="Compact"/>
        <w:numPr>
          <w:ilvl w:val="0"/>
          <w:numId w:val="1009"/>
        </w:numPr>
      </w:pPr>
      <w:r>
        <w:t xml:space="preserve">Mettre en place un mécanisme de signalement et de traitement des incidents (alerte au DPO).</w:t>
      </w:r>
    </w:p>
    <w:bookmarkEnd w:id="29"/>
    <w:bookmarkStart w:id="30" w:name="mise-à-jour-et-révision"/>
    <w:p>
      <w:pPr>
        <w:pStyle w:val="Heading2"/>
      </w:pPr>
      <w:r>
        <w:t xml:space="preserve">10. Mise à jour et révision</w:t>
      </w:r>
    </w:p>
    <w:p>
      <w:pPr>
        <w:pStyle w:val="Compact"/>
        <w:numPr>
          <w:ilvl w:val="0"/>
          <w:numId w:val="1010"/>
        </w:numPr>
      </w:pPr>
      <w:r>
        <w:t xml:space="preserve">Revoir périodiquement la politique en fonction des évolutions réglementaires et technologiques.</w:t>
      </w:r>
    </w:p>
    <w:p>
      <w:pPr>
        <w:pStyle w:val="Compact"/>
        <w:numPr>
          <w:ilvl w:val="0"/>
          <w:numId w:val="1010"/>
        </w:numPr>
      </w:pPr>
      <w:r>
        <w:t xml:space="preserve">Impliquer les parties prenantes dans les mises à jour.</w:t>
      </w:r>
    </w:p>
    <w:p>
      <w:pPr>
        <w:pStyle w:val="Compact"/>
        <w:numPr>
          <w:ilvl w:val="0"/>
          <w:numId w:val="1010"/>
        </w:numPr>
      </w:pPr>
      <w:r>
        <w:t xml:space="preserve">Documenter chaque version et diffusion à l’ensemble du personnel.</w:t>
      </w:r>
    </w:p>
    <w:bookmarkEnd w:id="30"/>
    <w:bookmarkEnd w:id="31"/>
    <w:bookmarkEnd w:id="32"/>
    <w:p>
      <w:r>
        <w:pict>
          <v:rect style="width:0;height:1.5pt" o:hralign="center" o:hrstd="t" o:hr="t"/>
        </w:pict>
      </w:r>
    </w:p>
    <w:bookmarkStart w:id="33" w:name="citations"/>
    <w:bookmarkEnd w:id="33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fr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dc:language>fr</dc:language>
  <cp:keywords/>
  <dcterms:created xsi:type="dcterms:W3CDTF">2025-12-16T18:37:25Z</dcterms:created>
  <dcterms:modified xsi:type="dcterms:W3CDTF">2025-12-16T18:37:25Z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ChatGPT Deep Research</vt:lpwstr>
  </property>
</Properties>
</file>